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lang w:val="pt-BR" w:eastAsia="zh-CN" w:bidi="hi-IN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 xml:space="preserve">Recife, </w:t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>20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 xml:space="preserve"> de outubro de 202</w:t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>2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spacing w:lineRule="auto" w:line="360" w:before="0" w:after="0"/>
        <w:ind w:left="560" w:hanging="0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>Ofício 60+ em Ação - PPI nº 25/2022</w:t>
      </w:r>
    </w:p>
    <w:p>
      <w:pPr>
        <w:pStyle w:val="LOnormal"/>
        <w:spacing w:lineRule="auto" w:line="360" w:before="0" w:after="0"/>
        <w:ind w:left="560" w:hanging="0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>PP - INST - 1.16.000.003899/2022-11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567" w:right="0" w:hanging="0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567" w:right="0" w:hanging="0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567" w:right="0" w:firstLine="1134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ind w:left="555" w:hanging="0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 xml:space="preserve">                   </w:t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>Excelentíssimo Procurador da República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567" w:right="0" w:firstLine="1134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567" w:right="0" w:firstLine="1134"/>
        <w:jc w:val="both"/>
        <w:rPr>
          <w:lang w:val="pt-BR" w:eastAsia="zh-CN" w:bidi="hi-IN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>As instituições abaixo identificadas</w:t>
      </w:r>
      <w:r>
        <w:rPr>
          <w:rStyle w:val="Ncoradanotaderodap"/>
          <w:rFonts w:eastAsia="Arial" w:cs="Arial" w:ascii="Arial" w:hAnsi="Arial"/>
          <w:sz w:val="20"/>
          <w:szCs w:val="20"/>
          <w:vertAlign w:val="superscript"/>
          <w:lang w:val="pt-BR" w:eastAsia="zh-CN" w:bidi="hi-IN"/>
        </w:rPr>
        <w:footnoteReference w:id="2"/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>v</w:t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>ê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 xml:space="preserve">m respeitosamente, perante Vossa Excelência, apresentar, nos termos do art. 5º, XXXIV, “a”, da Constituição Federal, e art. 12 da Lei Complementar nº 75/1993, os fatos abaixo, a fim de que sejam tomadas as medidas que entender pertinentes: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567" w:right="0" w:firstLine="1134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567" w:right="0" w:firstLine="1134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>Primeiramente, esclarecemos o encaminhamento do presente expediente a Vossa Excelência, em virtude de atuação voltada à temática da pessoa idosa, que originou o procedimento PP - INST - 1.16.000.003899/2022-1.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567" w:right="0" w:firstLine="1134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ind w:left="567" w:firstLine="1134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>Assim sendo, ressaltamos que apesar da previsão legal para criação dos fundos constar desde o Estatuto da Pessoa Idosa (Lei nº 10.741/2003), isto somente se concretizou com a Lei nº 12.213/2010, que instituiu o Fundo Nacional do Idoso e autorizou sua criação pelos Estados e Municípios.</w:t>
      </w:r>
    </w:p>
    <w:p>
      <w:pPr>
        <w:pStyle w:val="LOnormal"/>
        <w:spacing w:lineRule="auto" w:line="360" w:before="0" w:after="0"/>
        <w:ind w:left="567" w:firstLine="1134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ind w:left="567" w:firstLine="1134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>No entanto, foi  com a Lei nº 13.797/2019</w:t>
      </w:r>
      <w:r>
        <w:rPr>
          <w:rStyle w:val="Ncoradanotaderodap"/>
          <w:rFonts w:eastAsia="Arial" w:cs="Arial" w:ascii="Arial" w:hAnsi="Arial"/>
          <w:sz w:val="20"/>
          <w:szCs w:val="20"/>
          <w:vertAlign w:val="superscript"/>
          <w:lang w:val="pt-BR" w:eastAsia="zh-CN" w:bidi="hi-IN"/>
        </w:rPr>
        <w:footnoteReference w:id="3"/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>, que surgiu a obrigação para os Estados e Municípios de cadastrarem seus fundos junto ao Ministério da Mulher, da Família e dos Direitos Humanos (MMFDH), cabendo a este a remessa das informações à Secretaria da Receita Federal do Brasil, até 31 de outubro de cada ano.</w:t>
      </w:r>
    </w:p>
    <w:p>
      <w:pPr>
        <w:pStyle w:val="LOnormal"/>
        <w:spacing w:lineRule="auto" w:line="360" w:before="0" w:after="0"/>
        <w:ind w:left="567" w:firstLine="1134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ind w:left="567" w:firstLine="1134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>O Ministério da Mulher, da Família e dos Direitos Humanos (MMFDH), por sua vez, publicou a Portaria nº 1.035/2022, DOU de 31/05/2022</w:t>
      </w:r>
      <w:r>
        <w:rPr>
          <w:rFonts w:eastAsia="Arial" w:cs="Arial" w:ascii="Arial" w:hAnsi="Arial"/>
          <w:smallCaps/>
          <w:sz w:val="20"/>
          <w:szCs w:val="20"/>
          <w:lang w:val="pt-BR" w:eastAsia="zh-CN" w:bidi="hi-IN"/>
        </w:rPr>
        <w:t>,</w:t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 xml:space="preserve"> determinando que o cadastramento fosse realizado por meio do link: cadastrofdi.mdh.gov.br, </w:t>
      </w:r>
      <w:r>
        <w:rPr>
          <w:rFonts w:eastAsia="Arial" w:cs="Arial" w:ascii="Arial" w:hAnsi="Arial"/>
          <w:b/>
          <w:sz w:val="20"/>
          <w:szCs w:val="20"/>
          <w:u w:val="single"/>
          <w:lang w:val="pt-BR" w:eastAsia="zh-CN" w:bidi="hi-IN"/>
        </w:rPr>
        <w:t>até o dia 15 de outubro</w:t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>.</w:t>
      </w:r>
    </w:p>
    <w:p>
      <w:pPr>
        <w:pStyle w:val="LOnormal"/>
        <w:spacing w:lineRule="auto" w:line="360" w:before="0" w:after="0"/>
        <w:ind w:left="567" w:firstLine="1134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ind w:left="567" w:firstLine="1134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 xml:space="preserve">Contudo, a brevidade desta data limite não se justifica, posto que o prazo consignado em lei é de  </w:t>
      </w:r>
      <w:r>
        <w:rPr>
          <w:rFonts w:eastAsia="Arial" w:cs="Arial" w:ascii="Arial" w:hAnsi="Arial"/>
          <w:b/>
          <w:sz w:val="20"/>
          <w:szCs w:val="20"/>
          <w:u w:val="single"/>
          <w:lang w:val="pt-BR" w:eastAsia="zh-CN" w:bidi="hi-IN"/>
        </w:rPr>
        <w:t>31 de outubro</w:t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 xml:space="preserve">.  Além disso, o </w:t>
      </w:r>
      <w:r>
        <w:rPr>
          <w:rFonts w:eastAsia="Arial" w:cs="Arial" w:ascii="Arial" w:hAnsi="Arial"/>
          <w:i/>
          <w:sz w:val="20"/>
          <w:szCs w:val="20"/>
          <w:highlight w:val="white"/>
          <w:lang w:val="pt-BR" w:eastAsia="zh-CN" w:bidi="hi-IN"/>
        </w:rPr>
        <w:t>know-how</w:t>
      </w:r>
      <w:r>
        <w:rPr>
          <w:rFonts w:eastAsia="Arial" w:cs="Arial" w:ascii="Arial" w:hAnsi="Arial"/>
          <w:sz w:val="20"/>
          <w:szCs w:val="20"/>
          <w:highlight w:val="white"/>
          <w:lang w:val="pt-BR" w:eastAsia="zh-CN" w:bidi="hi-IN"/>
        </w:rPr>
        <w:t xml:space="preserve"> acumulado do </w:t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>MMFDH, que desenvolve esta atividade de cadastramento há mais de 10 anos</w:t>
      </w:r>
      <w:r>
        <w:rPr>
          <w:rStyle w:val="Ncoradanotaderodap"/>
          <w:rFonts w:eastAsia="Arial" w:cs="Arial" w:ascii="Arial" w:hAnsi="Arial"/>
          <w:sz w:val="20"/>
          <w:szCs w:val="20"/>
          <w:vertAlign w:val="superscript"/>
          <w:lang w:val="pt-BR" w:eastAsia="zh-CN" w:bidi="hi-IN"/>
        </w:rPr>
        <w:footnoteReference w:id="4"/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>,  bem como o fato de o recebimento e o envio dos dados serem feitos por meio eletrônico, não enseja maior complexidade ou aumento de trabalho, até porque o MMFDH está isento da análise das informações fornecidas, já que tal responsabilidade cabe exclusivamente às unidades inscritas  nos termos do art. 1º, § 4º da mencionada portaria, razões, pois, que autorizam a prorrogação do citado prazo.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567" w:right="0" w:firstLine="1134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spacing w:lineRule="auto" w:line="360" w:before="0" w:after="0"/>
        <w:ind w:left="567" w:firstLine="1134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>Ademais, o baixo número de fundos</w:t>
      </w:r>
      <w:r>
        <w:rPr>
          <w:rStyle w:val="Ncoradanotaderodap"/>
          <w:rFonts w:eastAsia="Arial" w:cs="Arial" w:ascii="Arial" w:hAnsi="Arial"/>
          <w:sz w:val="20"/>
          <w:szCs w:val="20"/>
          <w:vertAlign w:val="superscript"/>
          <w:lang w:val="pt-BR" w:eastAsia="zh-CN" w:bidi="hi-IN"/>
        </w:rPr>
        <w:footnoteReference w:id="5"/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>, principalmente na Região Nordeste, segundo os dados consolidados pelo próprio Ministério, exige uma atuação estratégica da gestão pública para modificar esta lamentável realidade.</w:t>
      </w:r>
    </w:p>
    <w:p>
      <w:pPr>
        <w:pStyle w:val="LOnormal"/>
        <w:spacing w:lineRule="auto" w:line="360" w:before="0" w:after="0"/>
        <w:ind w:left="567" w:firstLine="1134"/>
        <w:jc w:val="both"/>
        <w:rPr>
          <w:lang w:val="pt-BR" w:eastAsia="zh-CN" w:bidi="hi-IN"/>
        </w:rPr>
      </w:pPr>
      <w:r>
        <w:rPr>
          <w:lang w:val="pt-BR" w:eastAsia="zh-CN" w:bidi="hi-IN"/>
        </w:rPr>
        <w:drawing>
          <wp:inline distT="0" distB="0" distL="0" distR="0">
            <wp:extent cx="3014345" cy="30416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360" w:before="0" w:after="0"/>
        <w:ind w:left="567" w:firstLine="1134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ind w:left="567" w:firstLine="1134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>É oportuno evidenciar ainda que o presente cenário de eleições majoritárias e proporcionais distraíram os gestores para o presente tema.</w:t>
      </w:r>
    </w:p>
    <w:p>
      <w:pPr>
        <w:pStyle w:val="LOnormal"/>
        <w:spacing w:lineRule="auto" w:line="360" w:before="0" w:after="0"/>
        <w:jc w:val="center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ind w:left="567" w:firstLine="1134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 xml:space="preserve">Por tudo isso, os autores pleitearam a dilação do prazo de cadastramento dos fundos de direitos da pessoa idosa ao menos até o dia </w:t>
      </w:r>
      <w:r>
        <w:rPr>
          <w:rFonts w:eastAsia="Arial" w:cs="Arial" w:ascii="Arial" w:hAnsi="Arial"/>
          <w:b/>
          <w:sz w:val="20"/>
          <w:szCs w:val="20"/>
          <w:lang w:val="pt-BR" w:eastAsia="zh-CN" w:bidi="hi-IN"/>
        </w:rPr>
        <w:t>28 de outubro</w:t>
      </w:r>
      <w:r>
        <w:rPr>
          <w:rStyle w:val="Ncoradanotaderodap"/>
          <w:rFonts w:eastAsia="Arial" w:cs="Arial" w:ascii="Arial" w:hAnsi="Arial"/>
          <w:b/>
          <w:sz w:val="20"/>
          <w:szCs w:val="20"/>
          <w:vertAlign w:val="superscript"/>
          <w:lang w:val="pt-BR" w:eastAsia="zh-CN" w:bidi="hi-IN"/>
        </w:rPr>
        <w:footnoteReference w:id="6"/>
      </w:r>
      <w:r>
        <w:rPr>
          <w:rFonts w:eastAsia="Arial" w:cs="Arial" w:ascii="Arial" w:hAnsi="Arial"/>
          <w:b/>
          <w:sz w:val="20"/>
          <w:szCs w:val="20"/>
          <w:lang w:val="pt-BR" w:eastAsia="zh-CN" w:bidi="hi-IN"/>
        </w:rPr>
        <w:t xml:space="preserve">, </w:t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>tendo inclusive sugerido que a prorrogação fosse estendida aos fundos da infância, caso do interesse do Conselho Nacional dos Direitos da Criança e do Adolescente – CONANDA.</w:t>
      </w:r>
    </w:p>
    <w:p>
      <w:pPr>
        <w:pStyle w:val="LOnormal"/>
        <w:spacing w:lineRule="auto" w:line="360" w:before="0" w:after="0"/>
        <w:ind w:left="567" w:firstLine="1134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ind w:left="567" w:firstLine="1134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>Destacamos ainda que deve ter havido outros requerimentos semelhantes, a exemplo da solicitação feita pelo Ministério Público de Goiás, em anexo.</w:t>
      </w:r>
    </w:p>
    <w:p>
      <w:pPr>
        <w:pStyle w:val="LOnormal"/>
        <w:spacing w:lineRule="auto" w:line="360" w:before="0" w:after="0"/>
        <w:ind w:left="567" w:firstLine="1134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ind w:left="567" w:firstLine="1134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 xml:space="preserve">Vale lembrar que no ano passado foi formulado requerimento idêntico, no qual pugnou ainda pela alteração em definitivo do prazo de cadastro, o pleito foi acolhido, prorrogando até 28 de outubro daquele ano, beneficiando ambas as áreas e fazendo crer aliás que seria despiciendo renovar o expediente este ano, já que os fundamentos se mantiveram inalterados. </w:t>
      </w:r>
    </w:p>
    <w:p>
      <w:pPr>
        <w:pStyle w:val="LOnormal"/>
        <w:spacing w:lineRule="auto" w:line="360" w:before="0" w:after="0"/>
        <w:ind w:left="567" w:firstLine="1134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ind w:left="567" w:firstLine="1134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>Infelizmente, fomos surpreendidos com a prorrogação para os fundos da criança e adolescentes</w:t>
      </w:r>
      <w:r>
        <w:rPr>
          <w:rStyle w:val="Ncoradanotaderodap"/>
          <w:rFonts w:eastAsia="Arial" w:cs="Arial" w:ascii="Arial" w:hAnsi="Arial"/>
          <w:sz w:val="20"/>
          <w:szCs w:val="20"/>
          <w:vertAlign w:val="superscript"/>
          <w:lang w:val="pt-BR" w:eastAsia="zh-CN" w:bidi="hi-IN"/>
        </w:rPr>
        <w:footnoteReference w:id="7"/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>, decisão inclusa, e com o silêncio quanto à nossa reivindicação e com a retirada do formulário de cadastramento dos fundos de direitos da pessoa idosa do ar</w:t>
      </w:r>
      <w:r>
        <w:rPr>
          <w:rStyle w:val="Ncoradanotaderodap"/>
          <w:rFonts w:eastAsia="Arial" w:cs="Arial" w:ascii="Arial" w:hAnsi="Arial"/>
          <w:sz w:val="20"/>
          <w:szCs w:val="20"/>
          <w:vertAlign w:val="superscript"/>
          <w:lang w:val="pt-BR" w:eastAsia="zh-CN" w:bidi="hi-IN"/>
        </w:rPr>
        <w:footnoteReference w:id="8"/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 xml:space="preserve">. </w:t>
      </w:r>
    </w:p>
    <w:p>
      <w:pPr>
        <w:pStyle w:val="LOnormal"/>
        <w:spacing w:lineRule="auto" w:line="360" w:before="0" w:after="0"/>
        <w:ind w:left="567" w:firstLine="1134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ind w:left="567" w:firstLine="1134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 xml:space="preserve">Além de óbice ao recebimento de doações diretamente na declaração do imposto de renda por mais um ano, a disponibilização do formulário por apenas um período do ano acarreta ainda mais prejuízo aos municípios, haja vista que os impedem se habilitarem nos editais da iniciativa privada como o do Banco do Nordeste que textualmente diz: </w:t>
      </w:r>
    </w:p>
    <w:p>
      <w:pPr>
        <w:pStyle w:val="LOnormal"/>
        <w:spacing w:lineRule="auto" w:line="360" w:before="0" w:after="0"/>
        <w:ind w:left="567" w:firstLine="1134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ind w:left="1700" w:hanging="0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16"/>
          <w:szCs w:val="16"/>
          <w:lang w:val="pt-BR" w:eastAsia="zh-CN" w:bidi="hi-IN"/>
        </w:rPr>
        <w:t>4.2.2. O Fundo vinculado ao projeto, no qual os recursos serão depositados, esteja em situação regular e cadastro completo junto à Secretaria Nacional de Promoção e Defesa dos Direitos da Pessoa Idosa do Ministério da Mulher, da Família e dos Direitos Humanos (MDH), e perante a Receita Federal; e o Banco Santander,</w:t>
      </w:r>
      <w:r>
        <w:rPr>
          <w:rStyle w:val="Ncoradanotaderodap"/>
          <w:rFonts w:eastAsia="Arial" w:cs="Arial" w:ascii="Arial" w:hAnsi="Arial"/>
          <w:sz w:val="16"/>
          <w:szCs w:val="16"/>
          <w:vertAlign w:val="superscript"/>
          <w:lang w:val="pt-BR" w:eastAsia="zh-CN" w:bidi="hi-IN"/>
        </w:rPr>
        <w:footnoteReference w:id="9"/>
      </w:r>
      <w:r>
        <w:rPr>
          <w:rFonts w:eastAsia="Arial" w:cs="Arial" w:ascii="Arial" w:hAnsi="Arial"/>
          <w:sz w:val="16"/>
          <w:szCs w:val="16"/>
          <w:lang w:val="pt-BR" w:eastAsia="zh-CN" w:bidi="hi-IN"/>
        </w:rPr>
        <w:t xml:space="preserve"> que dispõe: B. Conselhos Municipais dos Direitos da Pessoa Idosa com o fundo cadastrado no Ministério da Mulher, da Família e dos Direitos Humanos, no ano vigente.</w:t>
      </w:r>
    </w:p>
    <w:p>
      <w:pPr>
        <w:pStyle w:val="LOnormal"/>
        <w:spacing w:lineRule="auto" w:line="360" w:before="0" w:after="0"/>
        <w:ind w:left="567" w:firstLine="1134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ind w:left="566" w:firstLine="1133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>De igual forma, dispõe o edital do Banco Santander:</w:t>
      </w:r>
    </w:p>
    <w:p>
      <w:pPr>
        <w:pStyle w:val="LOnormal"/>
        <w:spacing w:lineRule="auto" w:line="360" w:before="0" w:after="0"/>
        <w:ind w:left="1700" w:hanging="0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16"/>
          <w:szCs w:val="16"/>
          <w:lang w:val="pt-BR" w:eastAsia="zh-CN" w:bidi="hi-IN"/>
        </w:rPr>
        <w:t>3. ELEGIBILIDADE</w:t>
      </w:r>
    </w:p>
    <w:p>
      <w:pPr>
        <w:pStyle w:val="LOnormal"/>
        <w:spacing w:lineRule="auto" w:line="360" w:before="0" w:after="0"/>
        <w:ind w:left="1700" w:hanging="0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16"/>
          <w:szCs w:val="16"/>
          <w:lang w:val="pt-BR" w:eastAsia="zh-CN" w:bidi="hi-IN"/>
        </w:rPr>
        <w:t>Podem participar do Edital Parceiro do Idoso 2021:</w:t>
      </w:r>
    </w:p>
    <w:p>
      <w:pPr>
        <w:pStyle w:val="LOnormal"/>
        <w:spacing w:lineRule="auto" w:line="360" w:before="0" w:after="0"/>
        <w:ind w:left="1700" w:hanging="0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16"/>
          <w:szCs w:val="16"/>
          <w:lang w:val="pt-BR" w:eastAsia="zh-CN" w:bidi="hi-IN"/>
        </w:rPr>
        <w:t>A. Conselhos Municipais dos Direitos da Pessoa Idosa legalmente implantados e ativos em seus</w:t>
      </w:r>
    </w:p>
    <w:p>
      <w:pPr>
        <w:pStyle w:val="LOnormal"/>
        <w:spacing w:lineRule="auto" w:line="360" w:before="0" w:after="0"/>
        <w:ind w:left="1700" w:hanging="0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16"/>
          <w:szCs w:val="16"/>
          <w:lang w:val="pt-BR" w:eastAsia="zh-CN" w:bidi="hi-IN"/>
        </w:rPr>
        <w:t>municípios;</w:t>
      </w:r>
    </w:p>
    <w:p>
      <w:pPr>
        <w:pStyle w:val="LOnormal"/>
        <w:spacing w:lineRule="auto" w:line="360" w:before="0" w:after="0"/>
        <w:ind w:left="1700" w:hanging="0"/>
        <w:jc w:val="both"/>
        <w:rPr>
          <w:lang w:val="pt-BR" w:eastAsia="zh-CN" w:bidi="hi-IN"/>
        </w:rPr>
      </w:pPr>
      <w:r>
        <w:rPr>
          <w:rFonts w:eastAsia="Arial" w:cs="Arial" w:ascii="Arial" w:hAnsi="Arial"/>
          <w:b/>
          <w:sz w:val="16"/>
          <w:szCs w:val="16"/>
          <w:lang w:val="pt-BR" w:eastAsia="zh-CN" w:bidi="hi-IN"/>
        </w:rPr>
        <w:t>B. Conselhos Municipais dos Direitos da Pessoa Idosa com o fundo cadastrado no Ministério da Mulher, da Família e dos Direitos Humanos, no ano vigente;</w:t>
      </w:r>
    </w:p>
    <w:p>
      <w:pPr>
        <w:pStyle w:val="LOnormal"/>
        <w:spacing w:lineRule="auto" w:line="360" w:before="0" w:after="0"/>
        <w:ind w:left="566" w:firstLine="1133"/>
        <w:jc w:val="both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ind w:left="566" w:firstLine="1133"/>
        <w:jc w:val="both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 xml:space="preserve">Diante de tais fatos, pleiteamos a análise sobre pertinência e conveniência de uma atuação, visando a dilação do prazo de cadastramento dos fundos da pessoa idosa ao menos até o dia </w:t>
      </w:r>
      <w:r>
        <w:rPr>
          <w:rFonts w:eastAsia="Arial" w:cs="Arial" w:ascii="Arial" w:hAnsi="Arial"/>
          <w:b/>
          <w:sz w:val="20"/>
          <w:szCs w:val="20"/>
          <w:lang w:val="pt-BR" w:eastAsia="zh-CN" w:bidi="hi-IN"/>
        </w:rPr>
        <w:t>28 de outubro</w:t>
      </w:r>
      <w:r>
        <w:rPr>
          <w:rFonts w:eastAsia="Arial" w:cs="Arial" w:ascii="Arial" w:hAnsi="Arial"/>
          <w:sz w:val="20"/>
          <w:szCs w:val="20"/>
          <w:lang w:val="pt-BR" w:eastAsia="zh-CN" w:bidi="hi-IN"/>
        </w:rPr>
        <w:t>, de maneira que o novo prazo também venha ser adotado para os próximos anos, beneficiando tanto os fundos da pessoa idosa, quanto os da infância a depender este do posicionamento do CONANDA.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567" w:right="0" w:firstLine="1134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</w:r>
      <w:bookmarkStart w:id="0" w:name="bookmark=id.gjdgxs"/>
      <w:bookmarkStart w:id="1" w:name="bookmark=id.gjdgxs"/>
      <w:bookmarkEnd w:id="1"/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567" w:right="0" w:firstLine="1134"/>
        <w:jc w:val="both"/>
        <w:rPr>
          <w:lang w:val="pt-BR" w:eastAsia="zh-CN" w:bidi="hi-IN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>Atenciosamente,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427" w:before="0" w:after="0"/>
        <w:ind w:left="0" w:right="0" w:firstLine="1701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3481705</wp:posOffset>
            </wp:positionH>
            <wp:positionV relativeFrom="page">
              <wp:posOffset>5164455</wp:posOffset>
            </wp:positionV>
            <wp:extent cx="582930" cy="291465"/>
            <wp:effectExtent l="0" t="0" r="0" b="0"/>
            <wp:wrapSquare wrapText="largest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/>
          <w:b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b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/>
          <w:b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b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lang w:val="pt-BR" w:eastAsia="zh-CN" w:bidi="hi-IN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>Yélena Monteiro Araújo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lang w:val="pt-BR" w:eastAsia="zh-CN" w:bidi="hi-IN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>60+ em Ação - Políticas Públicas Integradas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lang w:val="pt-BR" w:eastAsia="zh-CN" w:bidi="hi-IN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>Coordenadora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</w:r>
    </w:p>
    <w:p>
      <w:pPr>
        <w:pStyle w:val="LOnormal"/>
        <w:spacing w:lineRule="auto" w:line="360" w:before="0" w:after="0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>Excelentíssimo Senhor,</w:t>
      </w:r>
    </w:p>
    <w:p>
      <w:pPr>
        <w:pStyle w:val="LOnormal"/>
        <w:spacing w:lineRule="auto" w:line="360" w:before="0" w:after="0"/>
        <w:rPr>
          <w:lang w:val="pt-BR" w:eastAsia="zh-CN" w:bidi="hi-IN"/>
        </w:rPr>
      </w:pPr>
      <w:r>
        <w:rPr>
          <w:rFonts w:eastAsia="Arial" w:cs="Arial" w:ascii="Arial" w:hAnsi="Arial"/>
          <w:b/>
          <w:sz w:val="20"/>
          <w:szCs w:val="20"/>
          <w:lang w:val="pt-BR" w:eastAsia="zh-CN" w:bidi="hi-IN"/>
        </w:rPr>
        <w:t xml:space="preserve">Dr. Pablo Coutinho Barreto </w:t>
      </w:r>
    </w:p>
    <w:p>
      <w:pPr>
        <w:pStyle w:val="LOnormal"/>
        <w:spacing w:lineRule="auto" w:line="360" w:before="0" w:after="0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>MD. Procurador da República</w:t>
      </w:r>
    </w:p>
    <w:p>
      <w:pPr>
        <w:pStyle w:val="LOnormal"/>
        <w:spacing w:lineRule="auto" w:line="360" w:before="0" w:after="0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>Procuradoria da República -  Distrito Federal Cível - Tutela Coletiva</w:t>
      </w:r>
    </w:p>
    <w:p>
      <w:pPr>
        <w:pStyle w:val="LOnormal"/>
        <w:spacing w:lineRule="auto" w:line="360" w:before="0" w:after="0"/>
        <w:rPr>
          <w:lang w:val="pt-BR" w:eastAsia="zh-CN" w:bidi="hi-IN"/>
        </w:rPr>
      </w:pPr>
      <w:r>
        <w:rPr>
          <w:rFonts w:eastAsia="Arial" w:cs="Arial" w:ascii="Arial" w:hAnsi="Arial"/>
          <w:sz w:val="20"/>
          <w:szCs w:val="20"/>
          <w:lang w:val="pt-BR" w:eastAsia="zh-CN" w:bidi="hi-IN"/>
        </w:rPr>
        <w:t xml:space="preserve">Brasília - BR – CEP: </w:t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40" w:right="1440" w:header="2820" w:top="2877" w:footer="720" w:bottom="1515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Spranq eco sans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/>
      <w:spacing w:lineRule="auto" w:line="252" w:before="0" w:after="160"/>
      <w:jc w:val="lef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LOnormal"/>
        <w:spacing w:lineRule="auto" w:line="240" w:before="0" w:after="0"/>
        <w:jc w:val="both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rFonts w:eastAsia="Arial" w:cs="Arial" w:ascii="Arial" w:hAnsi="Arial"/>
          <w:color w:val="00000A"/>
          <w:sz w:val="18"/>
          <w:szCs w:val="18"/>
        </w:rPr>
        <w:t>Caravana da Pessoa Idosa do Ministério Público de Pernambuco, Tribunal de Contas – PE, , Ministério Público de Contas – PE, Ordem dos Advogados do Brasil – PE, Conselho Regional de Contabilidade – PE, Conselho Estadual dos Direitos da Pessoa Idosa – PE, Grupo Mulheres do Brasil e Instituto de Pesquisa da Terceira Idade.</w:t>
      </w:r>
    </w:p>
  </w:footnote>
  <w:footnote w:id="3">
    <w:p>
      <w:pPr>
        <w:pStyle w:val="LOnormal"/>
        <w:spacing w:lineRule="auto" w:line="276" w:before="0" w:after="0"/>
        <w:jc w:val="both"/>
        <w:rPr>
          <w:color w:val="00000A"/>
        </w:rPr>
      </w:pPr>
      <w:r>
        <w:rPr>
          <w:rStyle w:val="Caracteresdenotaderodap"/>
        </w:rPr>
        <w:footnoteRef/>
      </w:r>
      <w:r>
        <w:rPr>
          <w:color w:val="00000A"/>
          <w:vertAlign w:val="superscript"/>
        </w:rPr>
        <w:t xml:space="preserve"> </w:t>
      </w:r>
      <w:r>
        <w:rPr>
          <w:rFonts w:eastAsia="Arial" w:cs="Arial" w:ascii="Arial" w:hAnsi="Arial"/>
          <w:color w:val="00000A"/>
          <w:sz w:val="18"/>
          <w:szCs w:val="18"/>
        </w:rPr>
        <w:t>A doação no ato da declaração do imposto para os fundos da criança  e do adolescente era permitido desde a promulgação da Lei nº 12.594/2012</w:t>
      </w:r>
      <w:r>
        <w:rPr>
          <w:rFonts w:eastAsia="Arial" w:cs="Arial" w:ascii="Arial" w:hAnsi="Arial"/>
          <w:b/>
          <w:color w:val="00000A"/>
          <w:sz w:val="18"/>
          <w:szCs w:val="18"/>
        </w:rPr>
        <w:t xml:space="preserve">. </w:t>
      </w:r>
    </w:p>
  </w:footnote>
  <w:footnote w:id="4">
    <w:p>
      <w:pPr>
        <w:pStyle w:val="LOnormal"/>
        <w:spacing w:lineRule="auto" w:line="240" w:before="0" w:after="0"/>
        <w:rPr>
          <w:color w:val="00000A"/>
          <w:sz w:val="20"/>
          <w:szCs w:val="20"/>
        </w:rPr>
      </w:pPr>
      <w:r>
        <w:rPr>
          <w:rStyle w:val="Caracteresdenotaderodap"/>
        </w:rPr>
        <w:footnoteRef/>
      </w:r>
      <w:r>
        <w:rPr>
          <w:color w:val="00000A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A"/>
          <w:sz w:val="18"/>
          <w:szCs w:val="18"/>
        </w:rPr>
        <w:t xml:space="preserve"> </w:t>
      </w:r>
      <w:r>
        <w:rPr>
          <w:rFonts w:eastAsia="Arial" w:cs="Arial" w:ascii="Arial" w:hAnsi="Arial"/>
          <w:color w:val="00000A"/>
          <w:sz w:val="18"/>
          <w:szCs w:val="18"/>
        </w:rPr>
        <w:t>Lei nº 12.594/2012.</w:t>
      </w:r>
    </w:p>
  </w:footnote>
  <w:footnote w:id="5">
    <w:p>
      <w:pPr>
        <w:pStyle w:val="LOnormal"/>
        <w:spacing w:lineRule="auto" w:line="240" w:before="0" w:after="0"/>
        <w:jc w:val="both"/>
        <w:rPr>
          <w:color w:val="00000A"/>
          <w:sz w:val="18"/>
          <w:szCs w:val="18"/>
        </w:rPr>
      </w:pPr>
      <w:r>
        <w:rPr>
          <w:rStyle w:val="Caracteresdenotaderodap"/>
        </w:rPr>
        <w:footnoteRef/>
      </w:r>
      <w:r>
        <w:rPr>
          <w:color w:val="00000A"/>
          <w:sz w:val="20"/>
          <w:szCs w:val="20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Em universo de 5.598 unidades (União, estados, municípios e Distrito Federal) tem-se apenas 1063 cadastrados, o que representa 19% do total.</w:t>
      </w:r>
    </w:p>
  </w:footnote>
  <w:footnote w:id="6">
    <w:p>
      <w:pPr>
        <w:pStyle w:val="LOnormal"/>
        <w:spacing w:lineRule="auto" w:line="240" w:before="0" w:after="0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Data estabelecida na prorrogação do ano anterior.</w:t>
      </w:r>
    </w:p>
  </w:footnote>
  <w:footnote w:id="7">
    <w:p>
      <w:pPr>
        <w:pStyle w:val="LOnormal"/>
        <w:spacing w:lineRule="auto" w:line="240" w:before="0" w:after="0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https://questionarios.mdh.gov.br/responder/e15xSrGvn3J2BjcEIzxC</w:t>
        </w:r>
      </w:hyperlink>
      <w:r>
        <w:rPr>
          <w:sz w:val="20"/>
          <w:szCs w:val="20"/>
        </w:rPr>
        <w:t xml:space="preserve"> .</w:t>
      </w:r>
    </w:p>
  </w:footnote>
  <w:footnote w:id="8">
    <w:p>
      <w:pPr>
        <w:pStyle w:val="LOnormal"/>
        <w:spacing w:lineRule="auto" w:line="240" w:before="0" w:after="0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hyperlink r:id="rId2">
        <w:r>
          <w:rPr>
            <w:color w:val="1155CC"/>
            <w:sz w:val="20"/>
            <w:szCs w:val="20"/>
            <w:u w:val="single"/>
          </w:rPr>
          <w:t>https://questionarios.mdh.gov.br/mensagem</w:t>
        </w:r>
      </w:hyperlink>
      <w:r>
        <w:rPr>
          <w:sz w:val="20"/>
          <w:szCs w:val="20"/>
        </w:rPr>
        <w:t xml:space="preserve"> </w:t>
      </w:r>
    </w:p>
  </w:footnote>
  <w:footnote w:id="9">
    <w:p>
      <w:pPr>
        <w:pStyle w:val="LOnormal"/>
        <w:spacing w:lineRule="auto" w:line="240" w:before="0" w:after="0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hyperlink r:id="rId3">
        <w:r>
          <w:rPr>
            <w:color w:val="1155CC"/>
            <w:sz w:val="20"/>
            <w:szCs w:val="20"/>
            <w:u w:val="single"/>
          </w:rPr>
          <w:t>https://drive.google.com/drive/folders/1UW4DLIIowhN3A0DF3m3rioVbJZUPD3bF</w:t>
        </w:r>
      </w:hyperlink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/>
      <w:spacing w:lineRule="auto" w:line="252" w:before="0" w:after="160"/>
      <w:jc w:val="left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0625" cy="1871345"/>
          <wp:effectExtent l="0" t="0" r="0" b="0"/>
          <wp:wrapNone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87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Spranq eco sans" w:hAnsi="Spranq eco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Spranq eco sans" w:hAnsi="Spranq eco sans"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ascii="Spranq eco sans" w:hAnsi="Spranq eco sans"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ascii="Spranq eco sans" w:hAnsi="Spranq eco sans" w:cs="Arial"/>
    </w:rPr>
  </w:style>
  <w:style w:type="paragraph" w:styleId="Normal1" w:default="1">
    <w:name w:val="LO-normal1"/>
    <w:qFormat/>
    <w:pPr>
      <w:widowControl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1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Notaderodap">
    <w:name w:val="Footnote Text"/>
    <w:basedOn w:val="Normal1"/>
    <w:pPr>
      <w:suppressLineNumbers/>
      <w:ind w:left="339" w:hanging="339"/>
    </w:pPr>
    <w:rPr>
      <w:sz w:val="20"/>
      <w:szCs w:val="20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questionarios.mdh.gov.br/responder/e15xSrGvn3J2BjcEIzxC" TargetMode="External"/><Relationship Id="rId2" Type="http://schemas.openxmlformats.org/officeDocument/2006/relationships/hyperlink" Target="https://questionarios.mdh.gov.br/mensagem" TargetMode="External"/><Relationship Id="rId3" Type="http://schemas.openxmlformats.org/officeDocument/2006/relationships/hyperlink" Target="https://drive.google.com/drive/folders/1UW4DLIIowhN3A0DF3m3rioVbJZUPD3bF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xxWbPALR3VfaPFUeAbKQu4u9zfw==">AMUW2mWe6fNGaIY9cQid138TkCe1GmFFuYwzEW9BW4D8pfHEo/EixEhq/iC4phIlH2qwFnKeBm0E6AtC7ZzN5YMnkO4fRhkvz/OqSMzQzcYazPJ8EeSSYl395MEEWPV0mz6MjnN6XMGl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LibreOffice/7.0.6.2$Windows_X86_64 LibreOffice_project/144abb84a525d8e30c9dbbefa69cbbf2d8d4ae3b</Application>
  <AppVersion>15.0000</AppVersion>
  <Pages>4</Pages>
  <Words>959</Words>
  <Characters>5261</Characters>
  <CharactersWithSpaces>6229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2022-10-20T14:55:24Z</dcterms:modified>
  <cp:revision>1</cp:revision>
  <dc:subject/>
  <dc:title/>
</cp:coreProperties>
</file>