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right"/>
        <w:rPr>
          <w:lang w:val="pt-BR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  <w:t xml:space="preserve">Recife, </w:t>
      </w:r>
      <w:r>
        <w:rPr>
          <w:rFonts w:eastAsia="Arial" w:cs="Arial" w:ascii="Arial" w:hAnsi="Arial"/>
          <w:sz w:val="20"/>
          <w:szCs w:val="20"/>
          <w:lang w:val="pt-BR" w:eastAsia="zh-CN" w:bidi="hi-IN"/>
        </w:rPr>
        <w:t>20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  <w:t xml:space="preserve"> de outubro de 202</w:t>
      </w:r>
      <w:r>
        <w:rPr>
          <w:rFonts w:eastAsia="Arial" w:cs="Arial" w:ascii="Arial" w:hAnsi="Arial"/>
          <w:sz w:val="20"/>
          <w:szCs w:val="20"/>
          <w:lang w:val="pt-BR" w:eastAsia="zh-CN" w:bidi="hi-IN"/>
        </w:rPr>
        <w:t>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  <w:t>.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</w:r>
    </w:p>
    <w:p>
      <w:pPr>
        <w:pStyle w:val="LOnormal"/>
        <w:spacing w:lineRule="auto" w:line="360" w:before="0" w:after="0"/>
        <w:ind w:left="560" w:hanging="0"/>
        <w:jc w:val="both"/>
        <w:rPr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  <w:t>Ofício 60+ em Ação - PPI nº 25/2022</w:t>
      </w:r>
    </w:p>
    <w:p>
      <w:pPr>
        <w:pStyle w:val="LOnormal"/>
        <w:spacing w:lineRule="auto" w:line="360" w:before="0" w:after="0"/>
        <w:ind w:left="560" w:hanging="0"/>
        <w:jc w:val="both"/>
        <w:rPr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  <w:t>PP - INST - 1.16.000.003899/2022-11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567" w:right="0" w:hanging="0"/>
        <w:jc w:val="both"/>
        <w:rPr>
          <w:rFonts w:ascii="Arial" w:hAnsi="Arial" w:eastAsia="Arial" w:cs="Arial"/>
          <w:sz w:val="20"/>
          <w:szCs w:val="20"/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567" w:right="0" w:hanging="0"/>
        <w:jc w:val="both"/>
        <w:rPr>
          <w:rFonts w:ascii="Arial" w:hAnsi="Arial" w:eastAsia="Arial" w:cs="Arial"/>
          <w:sz w:val="20"/>
          <w:szCs w:val="20"/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567" w:right="0" w:firstLine="1134"/>
        <w:jc w:val="both"/>
        <w:rPr>
          <w:rFonts w:ascii="Arial" w:hAnsi="Arial" w:eastAsia="Arial" w:cs="Arial"/>
          <w:sz w:val="20"/>
          <w:szCs w:val="20"/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</w:r>
    </w:p>
    <w:p>
      <w:pPr>
        <w:pStyle w:val="LOnormal"/>
        <w:spacing w:lineRule="auto" w:line="360" w:before="0" w:after="0"/>
        <w:ind w:left="555" w:hanging="0"/>
        <w:jc w:val="both"/>
        <w:rPr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  <w:t xml:space="preserve">                   </w:t>
      </w:r>
      <w:r>
        <w:rPr>
          <w:rFonts w:eastAsia="Arial" w:cs="Arial" w:ascii="Arial" w:hAnsi="Arial"/>
          <w:sz w:val="20"/>
          <w:szCs w:val="20"/>
          <w:lang w:val="pt-BR" w:eastAsia="zh-CN" w:bidi="hi-IN"/>
        </w:rPr>
        <w:t>Excelentíssimo Procurador da República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567" w:right="0" w:firstLine="1134"/>
        <w:jc w:val="both"/>
        <w:rPr>
          <w:rFonts w:ascii="Arial" w:hAnsi="Arial" w:eastAsia="Arial" w:cs="Arial"/>
          <w:sz w:val="20"/>
          <w:szCs w:val="20"/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567" w:right="0" w:firstLine="1134"/>
        <w:jc w:val="both"/>
        <w:rPr>
          <w:lang w:val="pt-BR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  <w:t>As instituições abaixo identificadas</w:t>
      </w:r>
      <w:r>
        <w:rPr>
          <w:rStyle w:val="Ncoradanotaderodap"/>
          <w:rFonts w:eastAsia="Arial" w:cs="Arial" w:ascii="Arial" w:hAnsi="Arial"/>
          <w:sz w:val="20"/>
          <w:szCs w:val="20"/>
          <w:vertAlign w:val="superscript"/>
          <w:lang w:val="pt-BR" w:eastAsia="zh-CN" w:bidi="hi-IN"/>
        </w:rPr>
        <w:footnoteReference w:id="2"/>
      </w:r>
      <w:r>
        <w:rPr>
          <w:rFonts w:eastAsia="Arial" w:cs="Arial" w:ascii="Arial" w:hAnsi="Arial"/>
          <w:sz w:val="20"/>
          <w:szCs w:val="20"/>
          <w:lang w:val="pt-BR" w:eastAsia="zh-CN" w:bidi="hi-IN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  <w:t>v</w:t>
      </w:r>
      <w:r>
        <w:rPr>
          <w:rFonts w:eastAsia="Arial" w:cs="Arial" w:ascii="Arial" w:hAnsi="Arial"/>
          <w:sz w:val="20"/>
          <w:szCs w:val="20"/>
          <w:lang w:val="pt-BR" w:eastAsia="zh-CN" w:bidi="hi-IN"/>
        </w:rPr>
        <w:t>ê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  <w:t xml:space="preserve">m respeitosamente, perante Vossa Excelência, apresentar, nos termos do art. 5º, XXXIV, “a”, da Constituição Federal, e art. 12 da Lei Complementar nº 75/1993, os fatos abaixo, a fim de que sejam tomadas as medidas que entender pertinentes: 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567" w:right="0" w:firstLine="1134"/>
        <w:jc w:val="both"/>
        <w:rPr>
          <w:rFonts w:ascii="Arial" w:hAnsi="Arial" w:eastAsia="Arial" w:cs="Arial"/>
          <w:sz w:val="20"/>
          <w:szCs w:val="20"/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567" w:right="0" w:firstLine="1134"/>
        <w:jc w:val="both"/>
        <w:rPr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  <w:t>Primeiramente, esclarecemos o encaminhamento do presente expediente a Vossa Excelência, em virtude de atuação voltada à temática da pessoa idosa, que originou o procedimento PP - INST - 1.16.000.003899/2022-1.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567" w:right="0" w:firstLine="1134"/>
        <w:jc w:val="both"/>
        <w:rPr>
          <w:rFonts w:ascii="Arial" w:hAnsi="Arial" w:eastAsia="Arial" w:cs="Arial"/>
          <w:sz w:val="20"/>
          <w:szCs w:val="20"/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</w:r>
    </w:p>
    <w:p>
      <w:pPr>
        <w:pStyle w:val="LOnormal"/>
        <w:spacing w:lineRule="auto" w:line="360" w:before="0" w:after="0"/>
        <w:ind w:left="567" w:firstLine="1134"/>
        <w:jc w:val="both"/>
        <w:rPr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  <w:t>Assim sendo, ressaltamos que apesar da previsão legal para criação dos fundos constar desde o Estatuto da Pessoa Idosa (Lei nº 10.741/2003), isto somente se concretizou com a Lei nº 12.213/2010, que instituiu o Fundo Nacional do Idoso e autorizou sua criação pelos Estados e Municípios.</w:t>
      </w:r>
    </w:p>
    <w:p>
      <w:pPr>
        <w:pStyle w:val="LOnormal"/>
        <w:spacing w:lineRule="auto" w:line="360" w:before="0" w:after="0"/>
        <w:ind w:left="567" w:firstLine="1134"/>
        <w:jc w:val="both"/>
        <w:rPr>
          <w:rFonts w:ascii="Arial" w:hAnsi="Arial" w:eastAsia="Arial" w:cs="Arial"/>
          <w:sz w:val="20"/>
          <w:szCs w:val="20"/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</w:r>
    </w:p>
    <w:p>
      <w:pPr>
        <w:pStyle w:val="LOnormal"/>
        <w:spacing w:lineRule="auto" w:line="360" w:before="0" w:after="0"/>
        <w:ind w:left="567" w:firstLine="1134"/>
        <w:jc w:val="both"/>
        <w:rPr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  <w:t>No entanto, foi  com a Lei nº 13.797/2019</w:t>
      </w:r>
      <w:r>
        <w:rPr>
          <w:rStyle w:val="Ncoradanotaderodap"/>
          <w:rFonts w:eastAsia="Arial" w:cs="Arial" w:ascii="Arial" w:hAnsi="Arial"/>
          <w:sz w:val="20"/>
          <w:szCs w:val="20"/>
          <w:vertAlign w:val="superscript"/>
          <w:lang w:val="pt-BR" w:eastAsia="zh-CN" w:bidi="hi-IN"/>
        </w:rPr>
        <w:footnoteReference w:id="3"/>
      </w:r>
      <w:r>
        <w:rPr>
          <w:rFonts w:eastAsia="Arial" w:cs="Arial" w:ascii="Arial" w:hAnsi="Arial"/>
          <w:sz w:val="20"/>
          <w:szCs w:val="20"/>
          <w:lang w:val="pt-BR" w:eastAsia="zh-CN" w:bidi="hi-IN"/>
        </w:rPr>
        <w:t>, que surgiu a obrigação para os Estados e Municípios de cadastrarem seus fundos junto ao Ministério da Mulher, da Família e dos Direitos Humanos (MMFDH), cabendo a este a remessa das informações à Secretaria da Receita Federal do Brasil, até 31 de outubro de cada ano.</w:t>
      </w:r>
    </w:p>
    <w:p>
      <w:pPr>
        <w:pStyle w:val="LOnormal"/>
        <w:spacing w:lineRule="auto" w:line="360" w:before="0" w:after="0"/>
        <w:ind w:left="567" w:firstLine="1134"/>
        <w:jc w:val="both"/>
        <w:rPr>
          <w:rFonts w:ascii="Arial" w:hAnsi="Arial" w:eastAsia="Arial" w:cs="Arial"/>
          <w:sz w:val="20"/>
          <w:szCs w:val="20"/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</w:r>
    </w:p>
    <w:p>
      <w:pPr>
        <w:pStyle w:val="LOnormal"/>
        <w:spacing w:lineRule="auto" w:line="360" w:before="0" w:after="0"/>
        <w:ind w:left="567" w:firstLine="1134"/>
        <w:jc w:val="both"/>
        <w:rPr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  <w:t>O Ministério da Mulher, da Família e dos Direitos Humanos (MMFDH), por sua vez, publicou a Portaria nº 1.035/2022, DOU de 31/05/2022</w:t>
      </w:r>
      <w:r>
        <w:rPr>
          <w:rFonts w:eastAsia="Arial" w:cs="Arial" w:ascii="Arial" w:hAnsi="Arial"/>
          <w:smallCaps/>
          <w:sz w:val="20"/>
          <w:szCs w:val="20"/>
          <w:lang w:val="pt-BR" w:eastAsia="zh-CN" w:bidi="hi-IN"/>
        </w:rPr>
        <w:t>,</w:t>
      </w:r>
      <w:r>
        <w:rPr>
          <w:rFonts w:eastAsia="Arial" w:cs="Arial" w:ascii="Arial" w:hAnsi="Arial"/>
          <w:sz w:val="20"/>
          <w:szCs w:val="20"/>
          <w:lang w:val="pt-BR" w:eastAsia="zh-CN" w:bidi="hi-IN"/>
        </w:rPr>
        <w:t xml:space="preserve"> determinando que o cadastramento fosse realizado por meio do link: cadastrofdi.mdh.gov.br, </w:t>
      </w:r>
      <w:r>
        <w:rPr>
          <w:rFonts w:eastAsia="Arial" w:cs="Arial" w:ascii="Arial" w:hAnsi="Arial"/>
          <w:b/>
          <w:sz w:val="20"/>
          <w:szCs w:val="20"/>
          <w:u w:val="single"/>
          <w:lang w:val="pt-BR" w:eastAsia="zh-CN" w:bidi="hi-IN"/>
        </w:rPr>
        <w:t>até o dia 15 de outubro</w:t>
      </w:r>
      <w:r>
        <w:rPr>
          <w:rFonts w:eastAsia="Arial" w:cs="Arial" w:ascii="Arial" w:hAnsi="Arial"/>
          <w:sz w:val="20"/>
          <w:szCs w:val="20"/>
          <w:lang w:val="pt-BR" w:eastAsia="zh-CN" w:bidi="hi-IN"/>
        </w:rPr>
        <w:t>.</w:t>
      </w:r>
    </w:p>
    <w:p>
      <w:pPr>
        <w:pStyle w:val="LOnormal"/>
        <w:spacing w:lineRule="auto" w:line="360" w:before="0" w:after="0"/>
        <w:ind w:left="567" w:firstLine="1134"/>
        <w:jc w:val="both"/>
        <w:rPr>
          <w:rFonts w:ascii="Arial" w:hAnsi="Arial" w:eastAsia="Arial" w:cs="Arial"/>
          <w:sz w:val="20"/>
          <w:szCs w:val="20"/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</w:r>
    </w:p>
    <w:p>
      <w:pPr>
        <w:pStyle w:val="LOnormal"/>
        <w:spacing w:lineRule="auto" w:line="360" w:before="0" w:after="0"/>
        <w:ind w:left="567" w:firstLine="1134"/>
        <w:jc w:val="both"/>
        <w:rPr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  <w:t xml:space="preserve">Contudo, a brevidade desta data limite não se justifica, posto que o prazo consignado em lei é de  </w:t>
      </w:r>
      <w:r>
        <w:rPr>
          <w:rFonts w:eastAsia="Arial" w:cs="Arial" w:ascii="Arial" w:hAnsi="Arial"/>
          <w:b/>
          <w:sz w:val="20"/>
          <w:szCs w:val="20"/>
          <w:u w:val="single"/>
          <w:lang w:val="pt-BR" w:eastAsia="zh-CN" w:bidi="hi-IN"/>
        </w:rPr>
        <w:t>31 de outubro</w:t>
      </w:r>
      <w:r>
        <w:rPr>
          <w:rFonts w:eastAsia="Arial" w:cs="Arial" w:ascii="Arial" w:hAnsi="Arial"/>
          <w:sz w:val="20"/>
          <w:szCs w:val="20"/>
          <w:lang w:val="pt-BR" w:eastAsia="zh-CN" w:bidi="hi-IN"/>
        </w:rPr>
        <w:t xml:space="preserve">.  Além disso, o </w:t>
      </w:r>
      <w:r>
        <w:rPr>
          <w:rFonts w:eastAsia="Arial" w:cs="Arial" w:ascii="Arial" w:hAnsi="Arial"/>
          <w:i/>
          <w:sz w:val="20"/>
          <w:szCs w:val="20"/>
          <w:highlight w:val="white"/>
          <w:lang w:val="pt-BR" w:eastAsia="zh-CN" w:bidi="hi-IN"/>
        </w:rPr>
        <w:t>know-how</w:t>
      </w:r>
      <w:r>
        <w:rPr>
          <w:rFonts w:eastAsia="Arial" w:cs="Arial" w:ascii="Arial" w:hAnsi="Arial"/>
          <w:sz w:val="20"/>
          <w:szCs w:val="20"/>
          <w:highlight w:val="white"/>
          <w:lang w:val="pt-BR" w:eastAsia="zh-CN" w:bidi="hi-IN"/>
        </w:rPr>
        <w:t xml:space="preserve"> acumulado do </w:t>
      </w:r>
      <w:r>
        <w:rPr>
          <w:rFonts w:eastAsia="Arial" w:cs="Arial" w:ascii="Arial" w:hAnsi="Arial"/>
          <w:sz w:val="20"/>
          <w:szCs w:val="20"/>
          <w:lang w:val="pt-BR" w:eastAsia="zh-CN" w:bidi="hi-IN"/>
        </w:rPr>
        <w:t>MMFDH, que desenvolve esta atividade de cadastramento há mais de 10 anos</w:t>
      </w:r>
      <w:r>
        <w:rPr>
          <w:rStyle w:val="Ncoradanotaderodap"/>
          <w:rFonts w:eastAsia="Arial" w:cs="Arial" w:ascii="Arial" w:hAnsi="Arial"/>
          <w:sz w:val="20"/>
          <w:szCs w:val="20"/>
          <w:vertAlign w:val="superscript"/>
          <w:lang w:val="pt-BR" w:eastAsia="zh-CN" w:bidi="hi-IN"/>
        </w:rPr>
        <w:footnoteReference w:id="4"/>
      </w:r>
      <w:r>
        <w:rPr>
          <w:rFonts w:eastAsia="Arial" w:cs="Arial" w:ascii="Arial" w:hAnsi="Arial"/>
          <w:sz w:val="20"/>
          <w:szCs w:val="20"/>
          <w:lang w:val="pt-BR" w:eastAsia="zh-CN" w:bidi="hi-IN"/>
        </w:rPr>
        <w:t>,  bem como o fato de o recebimento e o envio dos dados serem feitos por meio eletrônico, não enseja maior complexidade ou aumento de trabalho, até porque o MMFDH está isento da análise das informações fornecidas, já que tal responsabilidade cabe exclusivamente às unidades inscritas  nos termos do art. 1º, § 4º da mencionada portaria, razões, pois, que autorizam a prorrogação do citado prazo.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567" w:right="0" w:firstLine="1134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</w:r>
    </w:p>
    <w:p>
      <w:pPr>
        <w:pStyle w:val="LOnormal"/>
        <w:spacing w:lineRule="auto" w:line="360" w:before="0" w:after="0"/>
        <w:ind w:left="567" w:firstLine="1134"/>
        <w:jc w:val="both"/>
        <w:rPr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  <w:t>Ademais, o baixo número de fundos</w:t>
      </w:r>
      <w:r>
        <w:rPr>
          <w:rStyle w:val="Ncoradanotaderodap"/>
          <w:rFonts w:eastAsia="Arial" w:cs="Arial" w:ascii="Arial" w:hAnsi="Arial"/>
          <w:sz w:val="20"/>
          <w:szCs w:val="20"/>
          <w:vertAlign w:val="superscript"/>
          <w:lang w:val="pt-BR" w:eastAsia="zh-CN" w:bidi="hi-IN"/>
        </w:rPr>
        <w:footnoteReference w:id="5"/>
      </w:r>
      <w:r>
        <w:rPr>
          <w:rFonts w:eastAsia="Arial" w:cs="Arial" w:ascii="Arial" w:hAnsi="Arial"/>
          <w:sz w:val="20"/>
          <w:szCs w:val="20"/>
          <w:lang w:val="pt-BR" w:eastAsia="zh-CN" w:bidi="hi-IN"/>
        </w:rPr>
        <w:t>, principalmente na Região Nordeste, segundo os dados consolidados pelo próprio Ministério, exige uma atuação estratégica da gestão pública para modificar esta lamentável realidade.</w:t>
      </w:r>
    </w:p>
    <w:p>
      <w:pPr>
        <w:pStyle w:val="LOnormal"/>
        <w:spacing w:lineRule="auto" w:line="360" w:before="0" w:after="0"/>
        <w:ind w:left="567" w:firstLine="1134"/>
        <w:jc w:val="both"/>
        <w:rPr>
          <w:lang w:val="pt-BR" w:eastAsia="zh-CN" w:bidi="hi-IN"/>
        </w:rPr>
      </w:pPr>
      <w:r>
        <w:rPr>
          <w:lang w:val="pt-BR" w:eastAsia="zh-CN" w:bidi="hi-IN"/>
        </w:rPr>
        <w:drawing>
          <wp:inline distT="0" distB="0" distL="0" distR="0">
            <wp:extent cx="3014345" cy="304165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spacing w:lineRule="auto" w:line="360" w:before="0" w:after="0"/>
        <w:ind w:left="567" w:firstLine="1134"/>
        <w:jc w:val="both"/>
        <w:rPr>
          <w:rFonts w:ascii="Arial" w:hAnsi="Arial" w:eastAsia="Arial" w:cs="Arial"/>
          <w:sz w:val="20"/>
          <w:szCs w:val="20"/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</w:r>
    </w:p>
    <w:p>
      <w:pPr>
        <w:pStyle w:val="LOnormal"/>
        <w:spacing w:lineRule="auto" w:line="360" w:before="0" w:after="0"/>
        <w:ind w:left="567" w:firstLine="1134"/>
        <w:jc w:val="both"/>
        <w:rPr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  <w:t>É oportuno evidenciar ainda que o presente cenário de eleições majoritárias e proporcionais distraíram os gestores para o presente tema.</w:t>
      </w:r>
    </w:p>
    <w:p>
      <w:pPr>
        <w:pStyle w:val="LOnormal"/>
        <w:spacing w:lineRule="auto" w:line="360" w:before="0" w:after="0"/>
        <w:jc w:val="center"/>
        <w:rPr>
          <w:rFonts w:ascii="Arial" w:hAnsi="Arial" w:eastAsia="Arial" w:cs="Arial"/>
          <w:sz w:val="20"/>
          <w:szCs w:val="20"/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</w:r>
    </w:p>
    <w:p>
      <w:pPr>
        <w:pStyle w:val="LOnormal"/>
        <w:spacing w:lineRule="auto" w:line="360" w:before="0" w:after="0"/>
        <w:ind w:left="567" w:firstLine="1134"/>
        <w:jc w:val="both"/>
        <w:rPr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  <w:t xml:space="preserve">Por tudo isso, os autores pleitearam a dilação do prazo de cadastramento dos fundos de direitos da pessoa idosa ao menos até o dia </w:t>
      </w:r>
      <w:r>
        <w:rPr>
          <w:rFonts w:eastAsia="Arial" w:cs="Arial" w:ascii="Arial" w:hAnsi="Arial"/>
          <w:b/>
          <w:sz w:val="20"/>
          <w:szCs w:val="20"/>
          <w:lang w:val="pt-BR" w:eastAsia="zh-CN" w:bidi="hi-IN"/>
        </w:rPr>
        <w:t>28 de outubro</w:t>
      </w:r>
      <w:r>
        <w:rPr>
          <w:rStyle w:val="Ncoradanotaderodap"/>
          <w:rFonts w:eastAsia="Arial" w:cs="Arial" w:ascii="Arial" w:hAnsi="Arial"/>
          <w:b/>
          <w:sz w:val="20"/>
          <w:szCs w:val="20"/>
          <w:vertAlign w:val="superscript"/>
          <w:lang w:val="pt-BR" w:eastAsia="zh-CN" w:bidi="hi-IN"/>
        </w:rPr>
        <w:footnoteReference w:id="6"/>
      </w:r>
      <w:r>
        <w:rPr>
          <w:rFonts w:eastAsia="Arial" w:cs="Arial" w:ascii="Arial" w:hAnsi="Arial"/>
          <w:b/>
          <w:sz w:val="20"/>
          <w:szCs w:val="20"/>
          <w:lang w:val="pt-BR" w:eastAsia="zh-CN" w:bidi="hi-IN"/>
        </w:rPr>
        <w:t xml:space="preserve">, </w:t>
      </w:r>
      <w:r>
        <w:rPr>
          <w:rFonts w:eastAsia="Arial" w:cs="Arial" w:ascii="Arial" w:hAnsi="Arial"/>
          <w:sz w:val="20"/>
          <w:szCs w:val="20"/>
          <w:lang w:val="pt-BR" w:eastAsia="zh-CN" w:bidi="hi-IN"/>
        </w:rPr>
        <w:t>tendo inclusive sugerido que a prorrogação fosse estendida aos fundos da infância, caso do interesse do Conselho Nacional dos Direitos da Criança e do Adolescente – CONANDA.</w:t>
      </w:r>
    </w:p>
    <w:p>
      <w:pPr>
        <w:pStyle w:val="LOnormal"/>
        <w:spacing w:lineRule="auto" w:line="360" w:before="0" w:after="0"/>
        <w:ind w:left="567" w:firstLine="1134"/>
        <w:jc w:val="both"/>
        <w:rPr>
          <w:rFonts w:ascii="Arial" w:hAnsi="Arial" w:eastAsia="Arial" w:cs="Arial"/>
          <w:sz w:val="20"/>
          <w:szCs w:val="20"/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</w:r>
    </w:p>
    <w:p>
      <w:pPr>
        <w:pStyle w:val="LOnormal"/>
        <w:spacing w:lineRule="auto" w:line="360" w:before="0" w:after="0"/>
        <w:ind w:left="567" w:firstLine="1134"/>
        <w:jc w:val="both"/>
        <w:rPr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  <w:t>Destacamos ainda que deve ter havido outros requerimentos semelhantes, a exemplo da solicitação feita pelo Ministério Público de Goiás, em anexo.</w:t>
      </w:r>
    </w:p>
    <w:p>
      <w:pPr>
        <w:pStyle w:val="LOnormal"/>
        <w:spacing w:lineRule="auto" w:line="360" w:before="0" w:after="0"/>
        <w:ind w:left="567" w:firstLine="1134"/>
        <w:jc w:val="both"/>
        <w:rPr>
          <w:rFonts w:ascii="Arial" w:hAnsi="Arial" w:eastAsia="Arial" w:cs="Arial"/>
          <w:sz w:val="20"/>
          <w:szCs w:val="20"/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</w:r>
    </w:p>
    <w:p>
      <w:pPr>
        <w:pStyle w:val="LOnormal"/>
        <w:spacing w:lineRule="auto" w:line="360" w:before="0" w:after="0"/>
        <w:ind w:left="567" w:firstLine="1134"/>
        <w:jc w:val="both"/>
        <w:rPr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  <w:t xml:space="preserve">Vale lembrar que no ano passado foi formulado requerimento idêntico, no qual pugnou ainda pela alteração em definitivo do prazo de cadastro, o pleito foi acolhido, prorrogando até 28 de outubro daquele ano, beneficiando ambas as áreas e fazendo crer aliás que seria despiciendo renovar o expediente este ano, já que os fundamentos se mantiveram inalterados. </w:t>
      </w:r>
    </w:p>
    <w:p>
      <w:pPr>
        <w:pStyle w:val="LOnormal"/>
        <w:spacing w:lineRule="auto" w:line="360" w:before="0" w:after="0"/>
        <w:ind w:left="567" w:firstLine="1134"/>
        <w:jc w:val="both"/>
        <w:rPr>
          <w:rFonts w:ascii="Arial" w:hAnsi="Arial" w:eastAsia="Arial" w:cs="Arial"/>
          <w:sz w:val="20"/>
          <w:szCs w:val="20"/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</w:r>
    </w:p>
    <w:p>
      <w:pPr>
        <w:pStyle w:val="LOnormal"/>
        <w:spacing w:lineRule="auto" w:line="360" w:before="0" w:after="0"/>
        <w:ind w:left="567" w:firstLine="1134"/>
        <w:jc w:val="both"/>
        <w:rPr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  <w:t>Infelizmente, fomos surpreendidos com a prorrogação para os fundos da criança e adolescentes</w:t>
      </w:r>
      <w:r>
        <w:rPr>
          <w:rStyle w:val="Ncoradanotaderodap"/>
          <w:rFonts w:eastAsia="Arial" w:cs="Arial" w:ascii="Arial" w:hAnsi="Arial"/>
          <w:sz w:val="20"/>
          <w:szCs w:val="20"/>
          <w:vertAlign w:val="superscript"/>
          <w:lang w:val="pt-BR" w:eastAsia="zh-CN" w:bidi="hi-IN"/>
        </w:rPr>
        <w:footnoteReference w:id="7"/>
      </w:r>
      <w:r>
        <w:rPr>
          <w:rFonts w:eastAsia="Arial" w:cs="Arial" w:ascii="Arial" w:hAnsi="Arial"/>
          <w:sz w:val="20"/>
          <w:szCs w:val="20"/>
          <w:lang w:val="pt-BR" w:eastAsia="zh-CN" w:bidi="hi-IN"/>
        </w:rPr>
        <w:t>, decisão inclusa, e com o silêncio quanto à nossa reivindicação e com a retirada do formulário de cadastramento dos fundos de direitos da pessoa idosa do ar</w:t>
      </w:r>
      <w:r>
        <w:rPr>
          <w:rStyle w:val="Ncoradanotaderodap"/>
          <w:rFonts w:eastAsia="Arial" w:cs="Arial" w:ascii="Arial" w:hAnsi="Arial"/>
          <w:sz w:val="20"/>
          <w:szCs w:val="20"/>
          <w:vertAlign w:val="superscript"/>
          <w:lang w:val="pt-BR" w:eastAsia="zh-CN" w:bidi="hi-IN"/>
        </w:rPr>
        <w:footnoteReference w:id="8"/>
      </w:r>
      <w:r>
        <w:rPr>
          <w:rFonts w:eastAsia="Arial" w:cs="Arial" w:ascii="Arial" w:hAnsi="Arial"/>
          <w:sz w:val="20"/>
          <w:szCs w:val="20"/>
          <w:lang w:val="pt-BR" w:eastAsia="zh-CN" w:bidi="hi-IN"/>
        </w:rPr>
        <w:t xml:space="preserve">. </w:t>
      </w:r>
    </w:p>
    <w:p>
      <w:pPr>
        <w:pStyle w:val="LOnormal"/>
        <w:spacing w:lineRule="auto" w:line="360" w:before="0" w:after="0"/>
        <w:ind w:left="567" w:firstLine="1134"/>
        <w:jc w:val="both"/>
        <w:rPr>
          <w:rFonts w:ascii="Arial" w:hAnsi="Arial" w:eastAsia="Arial" w:cs="Arial"/>
          <w:sz w:val="20"/>
          <w:szCs w:val="20"/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</w:r>
    </w:p>
    <w:p>
      <w:pPr>
        <w:pStyle w:val="LOnormal"/>
        <w:spacing w:lineRule="auto" w:line="360" w:before="0" w:after="0"/>
        <w:ind w:left="567" w:firstLine="1134"/>
        <w:jc w:val="both"/>
        <w:rPr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  <w:t xml:space="preserve">Além de óbice ao recebimento de doações diretamente na declaração do imposto de renda por mais um ano, a disponibilização do formulário por apenas um período do ano acarreta ainda mais prejuízo aos municípios, haja vista que os impedem se habilitarem nos editais da iniciativa privada como o do Banco do Nordeste que textualmente diz: </w:t>
      </w:r>
    </w:p>
    <w:p>
      <w:pPr>
        <w:pStyle w:val="LOnormal"/>
        <w:spacing w:lineRule="auto" w:line="360" w:before="0" w:after="0"/>
        <w:ind w:left="567" w:firstLine="1134"/>
        <w:jc w:val="both"/>
        <w:rPr>
          <w:rFonts w:ascii="Arial" w:hAnsi="Arial" w:eastAsia="Arial" w:cs="Arial"/>
          <w:sz w:val="20"/>
          <w:szCs w:val="20"/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</w:r>
    </w:p>
    <w:p>
      <w:pPr>
        <w:pStyle w:val="LOnormal"/>
        <w:spacing w:lineRule="auto" w:line="360" w:before="0" w:after="0"/>
        <w:ind w:left="1700" w:hanging="0"/>
        <w:jc w:val="both"/>
        <w:rPr>
          <w:lang w:val="pt-BR" w:eastAsia="zh-CN" w:bidi="hi-IN"/>
        </w:rPr>
      </w:pPr>
      <w:r>
        <w:rPr>
          <w:rFonts w:eastAsia="Arial" w:cs="Arial" w:ascii="Arial" w:hAnsi="Arial"/>
          <w:sz w:val="16"/>
          <w:szCs w:val="16"/>
          <w:lang w:val="pt-BR" w:eastAsia="zh-CN" w:bidi="hi-IN"/>
        </w:rPr>
        <w:t>4.2.2. O Fundo vinculado ao projeto, no qual os recursos serão depositados, esteja em situação regular e cadastro completo junto à Secretaria Nacional de Promoção e Defesa dos Direitos da Pessoa Idosa do Ministério da Mulher, da Família e dos Direitos Humanos (MDH), e perante a Receita Federal; e o Banco Santander,</w:t>
      </w:r>
      <w:r>
        <w:rPr>
          <w:rStyle w:val="Ncoradanotaderodap"/>
          <w:rFonts w:eastAsia="Arial" w:cs="Arial" w:ascii="Arial" w:hAnsi="Arial"/>
          <w:sz w:val="16"/>
          <w:szCs w:val="16"/>
          <w:vertAlign w:val="superscript"/>
          <w:lang w:val="pt-BR" w:eastAsia="zh-CN" w:bidi="hi-IN"/>
        </w:rPr>
        <w:footnoteReference w:id="9"/>
      </w:r>
      <w:r>
        <w:rPr>
          <w:rFonts w:eastAsia="Arial" w:cs="Arial" w:ascii="Arial" w:hAnsi="Arial"/>
          <w:sz w:val="16"/>
          <w:szCs w:val="16"/>
          <w:lang w:val="pt-BR" w:eastAsia="zh-CN" w:bidi="hi-IN"/>
        </w:rPr>
        <w:t xml:space="preserve"> que dispõe: B. Conselhos Municipais dos Direitos da Pessoa Idosa com o fundo cadastrado no Ministério da Mulher, da Família e dos Direitos Humanos, no ano vigente.</w:t>
      </w:r>
    </w:p>
    <w:p>
      <w:pPr>
        <w:pStyle w:val="LOnormal"/>
        <w:spacing w:lineRule="auto" w:line="360" w:before="0" w:after="0"/>
        <w:ind w:left="567" w:firstLine="1134"/>
        <w:jc w:val="both"/>
        <w:rPr>
          <w:rFonts w:ascii="Arial" w:hAnsi="Arial" w:eastAsia="Arial" w:cs="Arial"/>
          <w:sz w:val="20"/>
          <w:szCs w:val="20"/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</w:r>
    </w:p>
    <w:p>
      <w:pPr>
        <w:pStyle w:val="LOnormal"/>
        <w:spacing w:lineRule="auto" w:line="360" w:before="0" w:after="0"/>
        <w:ind w:left="566" w:firstLine="1133"/>
        <w:jc w:val="both"/>
        <w:rPr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  <w:t>De igual forma, dispõe o edital do Banco Santander:</w:t>
      </w:r>
    </w:p>
    <w:p>
      <w:pPr>
        <w:pStyle w:val="LOnormal"/>
        <w:spacing w:lineRule="auto" w:line="360" w:before="0" w:after="0"/>
        <w:ind w:left="1700" w:hanging="0"/>
        <w:jc w:val="both"/>
        <w:rPr>
          <w:lang w:val="pt-BR" w:eastAsia="zh-CN" w:bidi="hi-IN"/>
        </w:rPr>
      </w:pPr>
      <w:r>
        <w:rPr>
          <w:rFonts w:eastAsia="Arial" w:cs="Arial" w:ascii="Arial" w:hAnsi="Arial"/>
          <w:sz w:val="16"/>
          <w:szCs w:val="16"/>
          <w:lang w:val="pt-BR" w:eastAsia="zh-CN" w:bidi="hi-IN"/>
        </w:rPr>
        <w:t>3. ELEGIBILIDADE</w:t>
      </w:r>
    </w:p>
    <w:p>
      <w:pPr>
        <w:pStyle w:val="LOnormal"/>
        <w:spacing w:lineRule="auto" w:line="360" w:before="0" w:after="0"/>
        <w:ind w:left="1700" w:hanging="0"/>
        <w:jc w:val="both"/>
        <w:rPr>
          <w:lang w:val="pt-BR" w:eastAsia="zh-CN" w:bidi="hi-IN"/>
        </w:rPr>
      </w:pPr>
      <w:r>
        <w:rPr>
          <w:rFonts w:eastAsia="Arial" w:cs="Arial" w:ascii="Arial" w:hAnsi="Arial"/>
          <w:sz w:val="16"/>
          <w:szCs w:val="16"/>
          <w:lang w:val="pt-BR" w:eastAsia="zh-CN" w:bidi="hi-IN"/>
        </w:rPr>
        <w:t>Podem participar do Edital Parceiro do Idoso 2021:</w:t>
      </w:r>
    </w:p>
    <w:p>
      <w:pPr>
        <w:pStyle w:val="LOnormal"/>
        <w:spacing w:lineRule="auto" w:line="360" w:before="0" w:after="0"/>
        <w:ind w:left="1700" w:hanging="0"/>
        <w:jc w:val="both"/>
        <w:rPr>
          <w:lang w:val="pt-BR" w:eastAsia="zh-CN" w:bidi="hi-IN"/>
        </w:rPr>
      </w:pPr>
      <w:r>
        <w:rPr>
          <w:rFonts w:eastAsia="Arial" w:cs="Arial" w:ascii="Arial" w:hAnsi="Arial"/>
          <w:sz w:val="16"/>
          <w:szCs w:val="16"/>
          <w:lang w:val="pt-BR" w:eastAsia="zh-CN" w:bidi="hi-IN"/>
        </w:rPr>
        <w:t>A. Conselhos Municipais dos Direitos da Pessoa Idosa legalmente implantados e ativos em seus</w:t>
      </w:r>
    </w:p>
    <w:p>
      <w:pPr>
        <w:pStyle w:val="LOnormal"/>
        <w:spacing w:lineRule="auto" w:line="360" w:before="0" w:after="0"/>
        <w:ind w:left="1700" w:hanging="0"/>
        <w:jc w:val="both"/>
        <w:rPr>
          <w:lang w:val="pt-BR" w:eastAsia="zh-CN" w:bidi="hi-IN"/>
        </w:rPr>
      </w:pPr>
      <w:r>
        <w:rPr>
          <w:rFonts w:eastAsia="Arial" w:cs="Arial" w:ascii="Arial" w:hAnsi="Arial"/>
          <w:sz w:val="16"/>
          <w:szCs w:val="16"/>
          <w:lang w:val="pt-BR" w:eastAsia="zh-CN" w:bidi="hi-IN"/>
        </w:rPr>
        <w:t>municípios;</w:t>
      </w:r>
    </w:p>
    <w:p>
      <w:pPr>
        <w:pStyle w:val="LOnormal"/>
        <w:spacing w:lineRule="auto" w:line="360" w:before="0" w:after="0"/>
        <w:ind w:left="1700" w:hanging="0"/>
        <w:jc w:val="both"/>
        <w:rPr>
          <w:lang w:val="pt-BR" w:eastAsia="zh-CN" w:bidi="hi-IN"/>
        </w:rPr>
      </w:pPr>
      <w:r>
        <w:rPr>
          <w:rFonts w:eastAsia="Arial" w:cs="Arial" w:ascii="Arial" w:hAnsi="Arial"/>
          <w:b/>
          <w:sz w:val="16"/>
          <w:szCs w:val="16"/>
          <w:lang w:val="pt-BR" w:eastAsia="zh-CN" w:bidi="hi-IN"/>
        </w:rPr>
        <w:t>B. Conselhos Municipais dos Direitos da Pessoa Idosa com o fundo cadastrado no Ministério da Mulher, da Família e dos Direitos Humanos, no ano vigente;</w:t>
      </w:r>
    </w:p>
    <w:p>
      <w:pPr>
        <w:pStyle w:val="LOnormal"/>
        <w:spacing w:lineRule="auto" w:line="360" w:before="0" w:after="0"/>
        <w:ind w:left="566" w:firstLine="1133"/>
        <w:jc w:val="both"/>
        <w:rPr>
          <w:rFonts w:ascii="Arial" w:hAnsi="Arial" w:eastAsia="Arial" w:cs="Arial"/>
          <w:sz w:val="20"/>
          <w:szCs w:val="20"/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</w:r>
    </w:p>
    <w:p>
      <w:pPr>
        <w:pStyle w:val="LOnormal"/>
        <w:spacing w:lineRule="auto" w:line="360" w:before="0" w:after="0"/>
        <w:ind w:left="566" w:firstLine="1133"/>
        <w:jc w:val="both"/>
        <w:rPr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  <w:t xml:space="preserve">Diante de tais fatos, pleiteamos a análise sobre pertinência e conveniência de uma atuação, visando a dilação do prazo de cadastramento dos fundos da pessoa idosa ao menos até o dia </w:t>
      </w:r>
      <w:r>
        <w:rPr>
          <w:rFonts w:eastAsia="Arial" w:cs="Arial" w:ascii="Arial" w:hAnsi="Arial"/>
          <w:b/>
          <w:sz w:val="20"/>
          <w:szCs w:val="20"/>
          <w:lang w:val="pt-BR" w:eastAsia="zh-CN" w:bidi="hi-IN"/>
        </w:rPr>
        <w:t>28 de outubro</w:t>
      </w:r>
      <w:r>
        <w:rPr>
          <w:rFonts w:eastAsia="Arial" w:cs="Arial" w:ascii="Arial" w:hAnsi="Arial"/>
          <w:sz w:val="20"/>
          <w:szCs w:val="20"/>
          <w:lang w:val="pt-BR" w:eastAsia="zh-CN" w:bidi="hi-IN"/>
        </w:rPr>
        <w:t>, de maneira que o novo prazo também venha ser adotado para os próximos anos, beneficiando tanto os fundos da pessoa idosa, quanto os da infância a depender este do posicionamento do CONANDA.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567" w:right="0" w:firstLine="1134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</w:r>
      <w:bookmarkStart w:id="0" w:name="bookmark=id.gjdgxs"/>
      <w:bookmarkStart w:id="1" w:name="bookmark=id.gjdgxs"/>
      <w:bookmarkEnd w:id="1"/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567" w:right="0" w:firstLine="1134"/>
        <w:jc w:val="both"/>
        <w:rPr>
          <w:lang w:val="pt-BR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  <w:t>Atenciosamente,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427" w:before="0" w:after="0"/>
        <w:ind w:left="0" w:right="0" w:firstLine="1701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  <w:lang w:val="pt-BR" w:eastAsia="zh-CN" w:bidi="hi-IN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  <w:lang w:val="pt-BR" w:eastAsia="zh-CN" w:bidi="hi-IN"/>
        </w:rPr>
        <w:drawing>
          <wp:anchor behindDoc="0" distT="0" distB="0" distL="0" distR="0" simplePos="0" locked="0" layoutInCell="0" allowOverlap="1" relativeHeight="6">
            <wp:simplePos x="0" y="0"/>
            <wp:positionH relativeFrom="page">
              <wp:posOffset>3481705</wp:posOffset>
            </wp:positionH>
            <wp:positionV relativeFrom="page">
              <wp:posOffset>5164455</wp:posOffset>
            </wp:positionV>
            <wp:extent cx="582930" cy="291465"/>
            <wp:effectExtent l="0" t="0" r="0" b="0"/>
            <wp:wrapSquare wrapText="largest"/>
            <wp:docPr id="2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/>
          <w:b/>
          <w:sz w:val="20"/>
          <w:szCs w:val="20"/>
          <w:lang w:val="pt-BR" w:eastAsia="zh-CN" w:bidi="hi-IN"/>
        </w:rPr>
      </w:pPr>
      <w:r>
        <w:rPr>
          <w:rFonts w:eastAsia="Arial" w:cs="Arial" w:ascii="Arial" w:hAnsi="Arial"/>
          <w:b/>
          <w:sz w:val="20"/>
          <w:szCs w:val="20"/>
          <w:lang w:val="pt-BR" w:eastAsia="zh-CN" w:bidi="hi-IN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/>
          <w:b/>
          <w:sz w:val="20"/>
          <w:szCs w:val="20"/>
          <w:lang w:val="pt-BR" w:eastAsia="zh-CN" w:bidi="hi-IN"/>
        </w:rPr>
      </w:pPr>
      <w:r>
        <w:rPr>
          <w:rFonts w:eastAsia="Arial" w:cs="Arial" w:ascii="Arial" w:hAnsi="Arial"/>
          <w:b/>
          <w:sz w:val="20"/>
          <w:szCs w:val="20"/>
          <w:lang w:val="pt-BR" w:eastAsia="zh-CN" w:bidi="hi-IN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lang w:val="pt-BR" w:eastAsia="zh-CN" w:bidi="hi-IN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  <w:t>Yélena Monteiro Araújo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lang w:val="pt-BR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  <w:t>60+ em Ação - Políticas Públicas Integradas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lang w:val="pt-BR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  <w:t>Coordenadora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sz w:val="20"/>
          <w:szCs w:val="20"/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sz w:val="20"/>
          <w:szCs w:val="20"/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sz w:val="20"/>
          <w:szCs w:val="20"/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sz w:val="20"/>
          <w:szCs w:val="20"/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sz w:val="20"/>
          <w:szCs w:val="20"/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sz w:val="20"/>
          <w:szCs w:val="20"/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sz w:val="20"/>
          <w:szCs w:val="20"/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sz w:val="20"/>
          <w:szCs w:val="20"/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sz w:val="20"/>
          <w:szCs w:val="20"/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sz w:val="20"/>
          <w:szCs w:val="20"/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sz w:val="20"/>
          <w:szCs w:val="20"/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sz w:val="20"/>
          <w:szCs w:val="20"/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sz w:val="20"/>
          <w:szCs w:val="20"/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</w:r>
    </w:p>
    <w:p>
      <w:pPr>
        <w:pStyle w:val="LOnormal"/>
        <w:spacing w:lineRule="auto" w:line="360" w:before="0" w:after="0"/>
        <w:rPr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  <w:t>Excelentíssimo Senhor,</w:t>
      </w:r>
    </w:p>
    <w:p>
      <w:pPr>
        <w:pStyle w:val="LOnormal"/>
        <w:spacing w:lineRule="auto" w:line="360" w:before="0" w:after="0"/>
        <w:rPr>
          <w:lang w:val="pt-BR" w:eastAsia="zh-CN" w:bidi="hi-IN"/>
        </w:rPr>
      </w:pPr>
      <w:r>
        <w:rPr>
          <w:rFonts w:eastAsia="Arial" w:cs="Arial" w:ascii="Arial" w:hAnsi="Arial"/>
          <w:b/>
          <w:sz w:val="20"/>
          <w:szCs w:val="20"/>
          <w:lang w:val="pt-BR" w:eastAsia="zh-CN" w:bidi="hi-IN"/>
        </w:rPr>
        <w:t xml:space="preserve">Dr. Pablo Coutinho Barreto </w:t>
      </w:r>
    </w:p>
    <w:p>
      <w:pPr>
        <w:pStyle w:val="LOnormal"/>
        <w:spacing w:lineRule="auto" w:line="360" w:before="0" w:after="0"/>
        <w:rPr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  <w:t>MD. Procurador da República</w:t>
      </w:r>
    </w:p>
    <w:p>
      <w:pPr>
        <w:pStyle w:val="LOnormal"/>
        <w:spacing w:lineRule="auto" w:line="360" w:before="0" w:after="0"/>
        <w:rPr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  <w:t>Procuradoria da República -  Distrito Federal Cível - Tutela Coletiva</w:t>
      </w:r>
    </w:p>
    <w:p>
      <w:pPr>
        <w:pStyle w:val="LOnormal"/>
        <w:spacing w:lineRule="auto" w:line="360" w:before="0" w:after="0"/>
        <w:rPr>
          <w:lang w:val="pt-BR" w:eastAsia="zh-CN" w:bidi="hi-IN"/>
        </w:rPr>
      </w:pPr>
      <w:r>
        <w:rPr>
          <w:rFonts w:eastAsia="Arial" w:cs="Arial" w:ascii="Arial" w:hAnsi="Arial"/>
          <w:sz w:val="20"/>
          <w:szCs w:val="20"/>
          <w:lang w:val="pt-BR" w:eastAsia="zh-CN" w:bidi="hi-IN"/>
        </w:rPr>
        <w:t xml:space="preserve">Brasília - BR – CEP: </w:t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440" w:right="1440" w:header="2820" w:top="2877" w:footer="720" w:bottom="1515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Spranq eco sans">
    <w:charset w:val="01"/>
    <w:family w:val="swiss"/>
    <w:pitch w:val="default"/>
  </w:font>
  <w:font w:name="Georgia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/>
      <w:spacing w:lineRule="auto" w:line="252" w:before="0" w:after="160"/>
      <w:jc w:val="lef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/>
    </w:p>
  </w:footnote>
  <w:footnote w:id="1" w:type="continuationSeparator">
    <w:p>
      <w:pPr>
        <w:rPr>
          <w:sz w:val="12"/>
        </w:rPr>
      </w:pPr>
      <w:r/>
    </w:p>
  </w:footnote>
  <w:footnote w:id="2">
    <w:p>
      <w:pPr>
        <w:pStyle w:val="LOnormal"/>
        <w:spacing w:lineRule="auto" w:line="240" w:before="0" w:after="0"/>
        <w:jc w:val="both"/>
        <w:rPr>
          <w:sz w:val="20"/>
          <w:szCs w:val="20"/>
        </w:rPr>
      </w:pPr>
      <w:r>
        <w:rPr>
          <w:rStyle w:val="Caracteresdenotaderodap"/>
        </w:rPr>
        <w:footnoteRef/>
      </w:r>
      <w:r>
        <w:rPr>
          <w:sz w:val="20"/>
          <w:szCs w:val="20"/>
        </w:rPr>
        <w:t xml:space="preserve"> </w:t>
      </w:r>
      <w:r>
        <w:rPr>
          <w:rFonts w:eastAsia="Arial" w:cs="Arial" w:ascii="Arial" w:hAnsi="Arial"/>
          <w:color w:val="00000A"/>
          <w:sz w:val="18"/>
          <w:szCs w:val="18"/>
        </w:rPr>
        <w:t>Caravana da Pessoa Idosa do Ministério Público de Pernambuco, Tribunal de Contas – PE, , Ministério Público de Contas – PE, Ordem dos Advogados do Brasil – PE, Conselho Regional de Contabilidade – PE, Conselho Estadual dos Direitos da Pessoa Idosa – PE, Grupo Mulheres do Brasil e Instituto de Pesquisa da Terceira Idade.</w:t>
      </w:r>
    </w:p>
  </w:footnote>
  <w:footnote w:id="3">
    <w:p>
      <w:pPr>
        <w:pStyle w:val="LOnormal"/>
        <w:spacing w:lineRule="auto" w:line="276" w:before="0" w:after="0"/>
        <w:jc w:val="both"/>
        <w:rPr>
          <w:color w:val="00000A"/>
        </w:rPr>
      </w:pPr>
      <w:r>
        <w:rPr>
          <w:rStyle w:val="Caracteresdenotaderodap"/>
        </w:rPr>
        <w:footnoteRef/>
      </w:r>
      <w:r>
        <w:rPr>
          <w:color w:val="00000A"/>
          <w:vertAlign w:val="superscript"/>
        </w:rPr>
        <w:t xml:space="preserve"> </w:t>
      </w:r>
      <w:r>
        <w:rPr>
          <w:rFonts w:eastAsia="Arial" w:cs="Arial" w:ascii="Arial" w:hAnsi="Arial"/>
          <w:color w:val="00000A"/>
          <w:sz w:val="18"/>
          <w:szCs w:val="18"/>
        </w:rPr>
        <w:t>A doação no ato da declaração do imposto para os fundos da criança  e do adolescente era permitido desde a promulgação da Lei nº 12.594/2012</w:t>
      </w:r>
      <w:r>
        <w:rPr>
          <w:rFonts w:eastAsia="Arial" w:cs="Arial" w:ascii="Arial" w:hAnsi="Arial"/>
          <w:b/>
          <w:color w:val="00000A"/>
          <w:sz w:val="18"/>
          <w:szCs w:val="18"/>
        </w:rPr>
        <w:t xml:space="preserve">. </w:t>
      </w:r>
    </w:p>
  </w:footnote>
  <w:footnote w:id="4">
    <w:p>
      <w:pPr>
        <w:pStyle w:val="LOnormal"/>
        <w:spacing w:lineRule="auto" w:line="240" w:before="0" w:after="0"/>
        <w:rPr>
          <w:color w:val="00000A"/>
          <w:sz w:val="20"/>
          <w:szCs w:val="20"/>
        </w:rPr>
      </w:pPr>
      <w:r>
        <w:rPr>
          <w:rStyle w:val="Caracteresdenotaderodap"/>
        </w:rPr>
        <w:footnoteRef/>
      </w:r>
      <w:r>
        <w:rPr>
          <w:color w:val="00000A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A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A"/>
          <w:sz w:val="18"/>
          <w:szCs w:val="18"/>
        </w:rPr>
        <w:t>Lei nº 12.594/2012.</w:t>
      </w:r>
    </w:p>
  </w:footnote>
  <w:footnote w:id="5">
    <w:p>
      <w:pPr>
        <w:pStyle w:val="LOnormal"/>
        <w:spacing w:lineRule="auto" w:line="240" w:before="0" w:after="0"/>
        <w:jc w:val="both"/>
        <w:rPr>
          <w:color w:val="00000A"/>
          <w:sz w:val="18"/>
          <w:szCs w:val="18"/>
        </w:rPr>
      </w:pPr>
      <w:r>
        <w:rPr>
          <w:rStyle w:val="Caracteresdenotaderodap"/>
        </w:rPr>
        <w:footnoteRef/>
      </w:r>
      <w:r>
        <w:rPr>
          <w:color w:val="00000A"/>
          <w:sz w:val="20"/>
          <w:szCs w:val="20"/>
        </w:rPr>
        <w:t xml:space="preserve"> </w:t>
      </w:r>
      <w:r>
        <w:rPr>
          <w:rFonts w:eastAsia="Arial" w:cs="Arial" w:ascii="Arial" w:hAnsi="Arial"/>
          <w:sz w:val="18"/>
          <w:szCs w:val="18"/>
        </w:rPr>
        <w:t>Em universo de 5.598 unidades (União, estados, municípios e Distrito Federal) tem-se apenas 1063 cadastrados, o que representa 19% do total.</w:t>
      </w:r>
    </w:p>
  </w:footnote>
  <w:footnote w:id="6">
    <w:p>
      <w:pPr>
        <w:pStyle w:val="LOnormal"/>
        <w:spacing w:lineRule="auto" w:line="240" w:before="0" w:after="0"/>
        <w:rPr>
          <w:sz w:val="20"/>
          <w:szCs w:val="20"/>
        </w:rPr>
      </w:pPr>
      <w:r>
        <w:rPr>
          <w:rStyle w:val="Caracteresdenotaderodap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Data estabelecida na prorrogação do ano anterior.</w:t>
      </w:r>
    </w:p>
  </w:footnote>
  <w:footnote w:id="7">
    <w:p>
      <w:pPr>
        <w:pStyle w:val="LOnormal"/>
        <w:spacing w:lineRule="auto" w:line="240" w:before="0" w:after="0"/>
        <w:rPr>
          <w:sz w:val="20"/>
          <w:szCs w:val="20"/>
        </w:rPr>
      </w:pPr>
      <w:r>
        <w:rPr>
          <w:rStyle w:val="Caracteresdenotaderodap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https://questionarios.mdh.gov.br/responder/e15xSrGvn3J2BjcEIzxC</w:t>
        </w:r>
      </w:hyperlink>
      <w:r>
        <w:rPr>
          <w:sz w:val="20"/>
          <w:szCs w:val="20"/>
        </w:rPr>
        <w:t xml:space="preserve"> .</w:t>
      </w:r>
    </w:p>
  </w:footnote>
  <w:footnote w:id="8">
    <w:p>
      <w:pPr>
        <w:pStyle w:val="LOnormal"/>
        <w:spacing w:lineRule="auto" w:line="240" w:before="0" w:after="0"/>
        <w:rPr>
          <w:sz w:val="20"/>
          <w:szCs w:val="20"/>
        </w:rPr>
      </w:pPr>
      <w:r>
        <w:rPr>
          <w:rStyle w:val="Caracteresdenotaderodap"/>
        </w:rPr>
        <w:footnoteRef/>
      </w:r>
      <w:r>
        <w:rPr>
          <w:sz w:val="20"/>
          <w:szCs w:val="20"/>
        </w:rPr>
        <w:t xml:space="preserve"> </w:t>
      </w:r>
      <w:hyperlink r:id="rId2">
        <w:r>
          <w:rPr>
            <w:color w:val="1155CC"/>
            <w:sz w:val="20"/>
            <w:szCs w:val="20"/>
            <w:u w:val="single"/>
          </w:rPr>
          <w:t>https://questionarios.mdh.gov.br/mensagem</w:t>
        </w:r>
      </w:hyperlink>
      <w:r>
        <w:rPr>
          <w:sz w:val="20"/>
          <w:szCs w:val="20"/>
        </w:rPr>
        <w:t xml:space="preserve"> </w:t>
      </w:r>
    </w:p>
  </w:footnote>
  <w:footnote w:id="9">
    <w:p>
      <w:pPr>
        <w:pStyle w:val="LOnormal"/>
        <w:spacing w:lineRule="auto" w:line="240" w:before="0" w:after="0"/>
        <w:rPr>
          <w:sz w:val="20"/>
          <w:szCs w:val="20"/>
        </w:rPr>
      </w:pPr>
      <w:r>
        <w:rPr>
          <w:rStyle w:val="Caracteresdenotaderodap"/>
        </w:rPr>
        <w:footnoteRef/>
      </w:r>
      <w:r>
        <w:rPr>
          <w:sz w:val="20"/>
          <w:szCs w:val="20"/>
        </w:rPr>
        <w:t xml:space="preserve"> </w:t>
      </w:r>
      <w:hyperlink r:id="rId3">
        <w:r>
          <w:rPr>
            <w:color w:val="1155CC"/>
            <w:sz w:val="20"/>
            <w:szCs w:val="20"/>
            <w:u w:val="single"/>
          </w:rPr>
          <w:t>https://drive.google.com/drive/folders/1UW4DLIIowhN3A0DF3m3rioVbJZUPD3bF</w:t>
        </w:r>
      </w:hyperlink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/>
      <w:spacing w:lineRule="auto" w:line="252" w:before="0" w:after="160"/>
      <w:jc w:val="left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0625" cy="1871345"/>
          <wp:effectExtent l="0" t="0" r="0" b="0"/>
          <wp:wrapNone/>
          <wp:docPr id="3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87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Spranq eco sans" w:hAnsi="Spranq eco sans" w:eastAsia="Microsoft YaHei" w:cs="Arial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Spranq eco sans" w:hAnsi="Spranq eco sans" w:cs="Ari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ascii="Spranq eco sans" w:hAnsi="Spranq eco sans" w:cs="Ari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ascii="Spranq eco sans" w:hAnsi="Spranq eco sans" w:cs="Arial"/>
    </w:rPr>
  </w:style>
  <w:style w:type="paragraph" w:styleId="Normal1" w:default="1">
    <w:name w:val="LO-normal1"/>
    <w:qFormat/>
    <w:pPr>
      <w:widowControl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1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Notaderodap">
    <w:name w:val="Footnote Text"/>
    <w:basedOn w:val="Normal1"/>
    <w:pPr>
      <w:suppressLineNumbers/>
      <w:ind w:left="339" w:hanging="339"/>
    </w:pPr>
    <w:rPr>
      <w:sz w:val="20"/>
      <w:szCs w:val="20"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questionarios.mdh.gov.br/responder/e15xSrGvn3J2BjcEIzxC" TargetMode="External"/><Relationship Id="rId2" Type="http://schemas.openxmlformats.org/officeDocument/2006/relationships/hyperlink" Target="https://questionarios.mdh.gov.br/mensagem" TargetMode="External"/><Relationship Id="rId3" Type="http://schemas.openxmlformats.org/officeDocument/2006/relationships/hyperlink" Target="https://drive.google.com/drive/folders/1UW4DLIIowhN3A0DF3m3rioVbJZUPD3bF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xxWbPALR3VfaPFUeAbKQu4u9zfw==">AMUW2mWe6fNGaIY9cQid138TkCe1GmFFuYwzEW9BW4D8pfHEo/EixEhq/iC4phIlH2qwFnKeBm0E6AtC7ZzN5YMnkO4fRhkvz/OqSMzQzcYazPJ8EeSSYl395MEEWPV0mz6MjnN6XMGl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LibreOffice/7.0.6.2$Windows_X86_64 LibreOffice_project/144abb84a525d8e30c9dbbefa69cbbf2d8d4ae3b</Application>
  <AppVersion>15.0000</AppVersion>
  <Pages>4</Pages>
  <Words>959</Words>
  <Characters>5261</Characters>
  <CharactersWithSpaces>6229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2022-10-20T14:55:24Z</dcterms:modified>
  <cp:revision>1</cp:revision>
  <dc:subject/>
  <dc:title/>
</cp:coreProperties>
</file>